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4" w:rsidRDefault="00E97FE4" w:rsidP="00E97FE4">
      <w:pPr>
        <w:rPr>
          <w:rFonts w:hint="eastAsia"/>
          <w:sz w:val="36"/>
          <w:szCs w:val="36"/>
        </w:rPr>
      </w:pPr>
      <w:r w:rsidRPr="00E97FE4">
        <w:rPr>
          <w:rFonts w:hint="eastAsia"/>
          <w:sz w:val="36"/>
          <w:szCs w:val="36"/>
        </w:rPr>
        <w:t>附件</w:t>
      </w:r>
      <w:r w:rsidRPr="00E97FE4">
        <w:rPr>
          <w:sz w:val="36"/>
          <w:szCs w:val="36"/>
        </w:rPr>
        <w:t>1：</w:t>
      </w:r>
    </w:p>
    <w:p w:rsidR="00E42047" w:rsidRDefault="00E97FE4" w:rsidP="00E97FE4">
      <w:pPr>
        <w:jc w:val="center"/>
        <w:rPr>
          <w:sz w:val="36"/>
          <w:szCs w:val="36"/>
        </w:rPr>
      </w:pPr>
      <w:r w:rsidRPr="00E97FE4">
        <w:rPr>
          <w:sz w:val="36"/>
          <w:szCs w:val="36"/>
        </w:rPr>
        <w:t>内镜精灵技术参数</w:t>
      </w:r>
    </w:p>
    <w:tbl>
      <w:tblPr>
        <w:tblStyle w:val="a3"/>
        <w:tblpPr w:leftFromText="180" w:rightFromText="180" w:vertAnchor="text" w:horzAnchor="page" w:tblpX="2205" w:tblpY="199"/>
        <w:tblOverlap w:val="never"/>
        <w:tblW w:w="7879" w:type="dxa"/>
        <w:tblLook w:val="04A0" w:firstRow="1" w:lastRow="0" w:firstColumn="1" w:lastColumn="0" w:noHBand="0" w:noVBand="1"/>
      </w:tblPr>
      <w:tblGrid>
        <w:gridCol w:w="2961"/>
        <w:gridCol w:w="4918"/>
      </w:tblGrid>
      <w:tr w:rsidR="00E42047">
        <w:trPr>
          <w:trHeight w:val="353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4918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bookmarkStart w:id="0" w:name="_Hlk149598388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消化内镜医学图像处理软件</w:t>
            </w:r>
            <w:bookmarkEnd w:id="0"/>
          </w:p>
        </w:tc>
      </w:tr>
      <w:tr w:rsidR="00E42047">
        <w:trPr>
          <w:trHeight w:val="1686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项目内容</w:t>
            </w:r>
          </w:p>
        </w:tc>
        <w:tc>
          <w:tcPr>
            <w:tcW w:w="4918" w:type="dxa"/>
          </w:tcPr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提供肠镜、胃镜、肠镜和胃镜下的人工智能消化道病变辅助检测系统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配套提供满足实时检测性能要求的主机硬件</w:t>
            </w:r>
          </w:p>
        </w:tc>
      </w:tr>
      <w:tr w:rsidR="00E42047">
        <w:trPr>
          <w:trHeight w:val="1352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产品核心功能</w:t>
            </w:r>
          </w:p>
        </w:tc>
        <w:tc>
          <w:tcPr>
            <w:tcW w:w="4918" w:type="dxa"/>
          </w:tcPr>
          <w:p w:rsidR="00E42047" w:rsidRDefault="00603DF7">
            <w:pPr>
              <w:autoSpaceDE w:val="0"/>
              <w:autoSpaceDN w:val="0"/>
              <w:adjustRightInd w:val="0"/>
              <w:jc w:val="left"/>
              <w:rPr>
                <w:rFonts w:ascii="Ü∂h≤ò" w:hAnsi="Ü∂h≤ò" w:cs="Ü∂h≤ò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通过软件算法分析识别肠镜、胃镜、肠镜和胃镜下的消化道病变，并实时标记给医生提示；且提示框颜色可以现场根据医生需要调整。</w:t>
            </w:r>
          </w:p>
        </w:tc>
      </w:tr>
      <w:tr w:rsidR="00E42047">
        <w:trPr>
          <w:trHeight w:val="2019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灵敏度和特异度</w:t>
            </w:r>
          </w:p>
        </w:tc>
        <w:tc>
          <w:tcPr>
            <w:tcW w:w="4918" w:type="dxa"/>
          </w:tcPr>
          <w:p w:rsidR="00E42047" w:rsidRDefault="00603D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高灵敏度和特异度，即要求产品有尽可能少的漏报和误报。</w:t>
            </w:r>
          </w:p>
          <w:p w:rsidR="00E42047" w:rsidRDefault="00603D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要求所提供方案可以在现场根据医生要求，对模型阈值和有效病变</w:t>
            </w:r>
            <w:proofErr w:type="gramStart"/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帧</w:t>
            </w:r>
            <w:proofErr w:type="gramEnd"/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阈值等参数进行调整；适应医生对于灵敏度和特异度的要求。</w:t>
            </w:r>
          </w:p>
        </w:tc>
      </w:tr>
      <w:tr w:rsidR="00E42047">
        <w:trPr>
          <w:trHeight w:val="1686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高可用性部署</w:t>
            </w:r>
          </w:p>
        </w:tc>
        <w:tc>
          <w:tcPr>
            <w:tcW w:w="4918" w:type="dxa"/>
          </w:tcPr>
          <w:p w:rsidR="00E42047" w:rsidRDefault="00603D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内窥镜主机和现有内镜显示器之间配置至“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  <w:t>+1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”链路，且不更改原有连接方式；保证出现链路和产品故障时可随时切换；不影响现场医疗服务工作的顺利进行。</w:t>
            </w:r>
          </w:p>
        </w:tc>
      </w:tr>
      <w:tr w:rsidR="00E42047">
        <w:trPr>
          <w:trHeight w:val="1352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单显示器输出</w:t>
            </w:r>
          </w:p>
        </w:tc>
        <w:tc>
          <w:tcPr>
            <w:tcW w:w="4918" w:type="dxa"/>
          </w:tcPr>
          <w:p w:rsidR="00E42047" w:rsidRDefault="00603DF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本方案为“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单显示器输出”输出方案，</w:t>
            </w:r>
            <w:r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  <w:t>经过软件算法分析后将疑似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病变</w:t>
            </w:r>
            <w:r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  <w:t>位置在视频图像中进行标记，显示在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原先已安装的</w:t>
            </w:r>
            <w:r>
              <w:rPr>
                <w:rFonts w:ascii="宋体" w:eastAsia="宋体" w:hAnsi="宋体" w:cs="Ü∂h≤ò"/>
                <w:color w:val="000000" w:themeColor="text1"/>
                <w:kern w:val="0"/>
                <w:sz w:val="24"/>
              </w:rPr>
              <w:t>显示器上</w:t>
            </w:r>
            <w:r>
              <w:rPr>
                <w:rFonts w:ascii="宋体" w:eastAsia="宋体" w:hAnsi="宋体" w:cs="Ü∂h≤ò"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E42047">
        <w:trPr>
          <w:trHeight w:val="1686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适配兼容性</w:t>
            </w:r>
          </w:p>
        </w:tc>
        <w:tc>
          <w:tcPr>
            <w:tcW w:w="4918" w:type="dxa"/>
          </w:tcPr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适配以下内窥镜品牌和机型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奥林巴斯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>290/260/170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富士：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>000/4450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宾得：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7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>000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开立：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>50</w:t>
            </w:r>
          </w:p>
        </w:tc>
      </w:tr>
      <w:tr w:rsidR="00E42047">
        <w:trPr>
          <w:trHeight w:val="686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安全性</w:t>
            </w:r>
          </w:p>
        </w:tc>
        <w:tc>
          <w:tcPr>
            <w:tcW w:w="4918" w:type="dxa"/>
          </w:tcPr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单机版产品，</w:t>
            </w:r>
          </w:p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不涉及到网络数据交换</w:t>
            </w:r>
          </w:p>
        </w:tc>
      </w:tr>
      <w:tr w:rsidR="00E42047">
        <w:trPr>
          <w:trHeight w:val="686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安装服务</w:t>
            </w:r>
          </w:p>
        </w:tc>
        <w:tc>
          <w:tcPr>
            <w:tcW w:w="4918" w:type="dxa"/>
          </w:tcPr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免费提供现场安装服务，并现场提供操作培训</w:t>
            </w:r>
          </w:p>
        </w:tc>
      </w:tr>
      <w:tr w:rsidR="00E42047">
        <w:trPr>
          <w:trHeight w:val="707"/>
        </w:trPr>
        <w:tc>
          <w:tcPr>
            <w:tcW w:w="2961" w:type="dxa"/>
          </w:tcPr>
          <w:p w:rsidR="00E42047" w:rsidRDefault="00603DF7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售后服务</w:t>
            </w:r>
          </w:p>
        </w:tc>
        <w:tc>
          <w:tcPr>
            <w:tcW w:w="4918" w:type="dxa"/>
          </w:tcPr>
          <w:p w:rsidR="00E42047" w:rsidRDefault="00603DF7">
            <w:pPr>
              <w:jc w:val="lef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提供三年免费硬件保修和软件更新</w:t>
            </w:r>
          </w:p>
        </w:tc>
      </w:tr>
    </w:tbl>
    <w:p w:rsidR="00E42047" w:rsidRDefault="00E42047">
      <w:bookmarkStart w:id="1" w:name="_GoBack"/>
      <w:bookmarkEnd w:id="1"/>
    </w:p>
    <w:sectPr w:rsidR="00E4204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F7" w:rsidRDefault="00603DF7" w:rsidP="00E97FE4">
      <w:r>
        <w:separator/>
      </w:r>
    </w:p>
  </w:endnote>
  <w:endnote w:type="continuationSeparator" w:id="0">
    <w:p w:rsidR="00603DF7" w:rsidRDefault="00603DF7" w:rsidP="00E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Ü∂h≤ò">
    <w:altName w:val="Calibri"/>
    <w:charset w:val="4D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F7" w:rsidRDefault="00603DF7" w:rsidP="00E97FE4">
      <w:r>
        <w:separator/>
      </w:r>
    </w:p>
  </w:footnote>
  <w:footnote w:type="continuationSeparator" w:id="0">
    <w:p w:rsidR="00603DF7" w:rsidRDefault="00603DF7" w:rsidP="00E9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mNiZmNjYjE4YzY1YTEzODUxOGE5ZDk5MjI0NTgifQ=="/>
  </w:docVars>
  <w:rsids>
    <w:rsidRoot w:val="009C1743"/>
    <w:rsid w:val="000D1DD4"/>
    <w:rsid w:val="000F477E"/>
    <w:rsid w:val="00172151"/>
    <w:rsid w:val="002004DC"/>
    <w:rsid w:val="00304153"/>
    <w:rsid w:val="00353128"/>
    <w:rsid w:val="00390212"/>
    <w:rsid w:val="004668C1"/>
    <w:rsid w:val="00477B1D"/>
    <w:rsid w:val="00571387"/>
    <w:rsid w:val="005B5A5C"/>
    <w:rsid w:val="00603DF7"/>
    <w:rsid w:val="0063301A"/>
    <w:rsid w:val="00680853"/>
    <w:rsid w:val="006D212A"/>
    <w:rsid w:val="00703F90"/>
    <w:rsid w:val="007F2132"/>
    <w:rsid w:val="008E510A"/>
    <w:rsid w:val="009A7F31"/>
    <w:rsid w:val="009C1743"/>
    <w:rsid w:val="009D57AB"/>
    <w:rsid w:val="00A64B8E"/>
    <w:rsid w:val="00AC13B7"/>
    <w:rsid w:val="00AD3DAE"/>
    <w:rsid w:val="00B40FFF"/>
    <w:rsid w:val="00BA24B7"/>
    <w:rsid w:val="00BB5423"/>
    <w:rsid w:val="00C04852"/>
    <w:rsid w:val="00CE595F"/>
    <w:rsid w:val="00D76631"/>
    <w:rsid w:val="00E41A7B"/>
    <w:rsid w:val="00E42047"/>
    <w:rsid w:val="00E97FE4"/>
    <w:rsid w:val="00EB0289"/>
    <w:rsid w:val="00EC199D"/>
    <w:rsid w:val="00EC1B2C"/>
    <w:rsid w:val="00EC2922"/>
    <w:rsid w:val="00FF079B"/>
    <w:rsid w:val="07DD39D2"/>
    <w:rsid w:val="25A66106"/>
    <w:rsid w:val="3799743E"/>
    <w:rsid w:val="570B768C"/>
    <w:rsid w:val="574B3B5A"/>
    <w:rsid w:val="591943EB"/>
    <w:rsid w:val="5D94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FE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F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7FE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7F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QIANG</dc:creator>
  <cp:lastModifiedBy>66735</cp:lastModifiedBy>
  <cp:revision>4</cp:revision>
  <dcterms:created xsi:type="dcterms:W3CDTF">2023-10-30T14:46:00Z</dcterms:created>
  <dcterms:modified xsi:type="dcterms:W3CDTF">2024-06-09T13:52:00Z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3460D091CBDD4145AE85436F433185F2_13</vt:lpwstr>
  </property>
</Properties>
</file>